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rPr>
          <w:color w:val="0B2545"/>
        </w:rPr>
        <w:t>Tendencias de Consumo – Mercado Mexicano 2026</w:t>
      </w:r>
    </w:p>
    <w:p>
      <w:pPr>
        <w:pStyle w:val="Heading1"/>
      </w:pPr>
      <w:r>
        <w:rPr>
          <w:color w:val="0B2545"/>
        </w:rPr>
        <w:t>Investigación de Mercado – Grupo Salinas</w:t>
      </w:r>
    </w:p>
    <w:p>
      <w:r>
        <w:rPr>
          <w:b/>
        </w:rPr>
        <w:t>Fecha:</w:t>
      </w:r>
      <w:r>
        <w:t xml:space="preserve"> 10 de abril de 2026</w:t>
      </w:r>
    </w:p>
    <w:p>
      <w:r>
        <w:rPr>
          <w:b/>
        </w:rPr>
        <w:t>Fuente:</w:t>
      </w:r>
      <w:r>
        <w:t xml:space="preserve"> Estudio propio GS Insights + datos INEGI, ANTAD, CONDUSEF</w:t>
      </w:r>
    </w:p>
    <w:p>
      <w:r>
        <w:rPr>
          <w:b/>
        </w:rPr>
        <w:t>Clasificación:</w:t>
      </w:r>
      <w:r>
        <w:t xml:space="preserve"> Uso Interno</w:t>
      </w:r>
    </w:p>
    <w:p>
      <w:pPr>
        <w:pBdr>
          <w:bottom w:val="single" w:sz="6" w:space="1" w:color="B0B6C2"/>
        </w:pBdr>
      </w:pPr>
    </w:p>
    <w:p>
      <w:pPr>
        <w:pStyle w:val="Heading1"/>
      </w:pPr>
      <w:r>
        <w:rPr>
          <w:color w:val="0B2545"/>
        </w:rPr>
        <w:t>1. Panorama Macroeconómico</w:t>
      </w:r>
    </w:p>
    <w:p>
      <w:pPr>
        <w:pStyle w:val="ListBullet"/>
      </w:pPr>
      <w:r>
        <w:rPr>
          <w:b/>
        </w:rPr>
        <w:t>PIB México 2025:</w:t>
      </w:r>
      <w:r>
        <w:t xml:space="preserve"> +1.4% real; proyección 2026: +1.8% a +2.1%.</w:t>
      </w:r>
    </w:p>
    <w:p>
      <w:pPr>
        <w:pStyle w:val="ListBullet"/>
      </w:pPr>
      <w:r>
        <w:rPr>
          <w:b/>
        </w:rPr>
        <w:t>Inflación anual marzo 2026:</w:t>
      </w:r>
      <w:r>
        <w:t xml:space="preserve"> 4.6% (headline), 4.9% (subyacente).</w:t>
      </w:r>
    </w:p>
    <w:p>
      <w:pPr>
        <w:pStyle w:val="ListBullet"/>
      </w:pPr>
      <w:r>
        <w:rPr>
          <w:b/>
        </w:rPr>
        <w:t>Tasa Banxico:</w:t>
      </w:r>
      <w:r>
        <w:t xml:space="preserve"> 9.75% (pausa desde febrero).</w:t>
      </w:r>
    </w:p>
    <w:p>
      <w:pPr>
        <w:pStyle w:val="ListBullet"/>
      </w:pPr>
      <w:r>
        <w:rPr>
          <w:b/>
        </w:rPr>
        <w:t>Tipo de cambio:</w:t>
      </w:r>
      <w:r>
        <w:t xml:space="preserve"> MXN/USD 18.90, apreciación 3.2% en lo que va del año.</w:t>
      </w:r>
    </w:p>
    <w:p>
      <w:pPr>
        <w:pStyle w:val="ListBullet"/>
      </w:pPr>
      <w:r>
        <w:rPr>
          <w:b/>
        </w:rPr>
        <w:t>Remesas 2025:</w:t>
      </w:r>
      <w:r>
        <w:t xml:space="preserve"> USD 66,400 millones (+3.8% YoY), principal entrada de divisas tras exportaciones.</w:t>
      </w:r>
    </w:p>
    <w:p>
      <w:pPr>
        <w:pStyle w:val="Heading1"/>
      </w:pPr>
      <w:r>
        <w:rPr>
          <w:color w:val="0B2545"/>
        </w:rPr>
        <w:t>2. Segmentos C, D+ y D (core de Grupo Salinas)</w:t>
      </w:r>
    </w:p>
    <w:p>
      <w:pPr>
        <w:pStyle w:val="ListBullet"/>
      </w:pPr>
      <w:r>
        <w:t xml:space="preserve">Representan </w:t>
      </w:r>
      <w:r>
        <w:rPr>
          <w:b/>
        </w:rPr>
        <w:t>66% de los hogares mexicanos</w:t>
      </w:r>
      <w:r>
        <w:t>.</w:t>
      </w:r>
    </w:p>
    <w:p>
      <w:pPr>
        <w:pStyle w:val="ListBullet"/>
      </w:pPr>
      <w:r>
        <w:rPr>
          <w:b/>
        </w:rPr>
        <w:t>Ingreso promedio mensual familiar:</w:t>
      </w:r>
    </w:p>
    <w:p>
      <w:pPr>
        <w:pStyle w:val="ListBullet"/>
      </w:pPr>
      <w:r>
        <w:t>C: MXN 23,500 – 41,000</w:t>
      </w:r>
    </w:p>
    <w:p>
      <w:pPr>
        <w:pStyle w:val="ListBullet"/>
      </w:pPr>
      <w:r>
        <w:t>D+: MXN 11,600 – 23,500</w:t>
      </w:r>
    </w:p>
    <w:p>
      <w:pPr>
        <w:pStyle w:val="ListBullet"/>
      </w:pPr>
      <w:r>
        <w:t>D: MXN 6,800 – 11,600</w:t>
      </w:r>
    </w:p>
    <w:p>
      <w:pPr>
        <w:pStyle w:val="ListBullet"/>
      </w:pPr>
      <w:r>
        <w:rPr>
          <w:b/>
        </w:rPr>
        <w:t>Gasto en servicios financieros informales</w:t>
      </w:r>
      <w:r>
        <w:t xml:space="preserve"> sigue alto: 38% de hogares D+/D usa tandas, casas de empeño, o préstamos entre familiares.</w:t>
      </w:r>
    </w:p>
    <w:p>
      <w:pPr>
        <w:pStyle w:val="ListBullet"/>
      </w:pPr>
      <w:r>
        <w:rPr>
          <w:b/>
        </w:rPr>
        <w:t>Penetración de smartphones:</w:t>
      </w:r>
      <w:r>
        <w:t xml:space="preserve"> 84% en C, 71% en D+, 54% en D.</w:t>
      </w:r>
    </w:p>
    <w:p>
      <w:pPr>
        <w:pStyle w:val="ListBullet"/>
      </w:pPr>
      <w:r>
        <w:rPr>
          <w:b/>
        </w:rPr>
        <w:t>Uso de internet móvil:</w:t>
      </w:r>
      <w:r>
        <w:t xml:space="preserve"> 78% en C, 62% en D+, 41% en D.</w:t>
      </w:r>
    </w:p>
    <w:p>
      <w:pPr>
        <w:pStyle w:val="Heading1"/>
      </w:pPr>
      <w:r>
        <w:rPr>
          <w:color w:val="0B2545"/>
        </w:rPr>
        <w:t>3. Tendencias de Consumo Clave</w:t>
      </w:r>
    </w:p>
    <w:p>
      <w:pPr>
        <w:pStyle w:val="Heading2"/>
      </w:pPr>
      <w:r>
        <w:rPr>
          <w:color w:val="0B2545"/>
        </w:rPr>
        <w:t>3.1 "Nearshoring efectivo"</w:t>
      </w:r>
    </w:p>
    <w:p>
      <w:r>
        <w:t xml:space="preserve">Los estados del Bajío (Guanajuato, Querétaro, Aguascalientes) y Nuevo León muestran crecimiento de ingreso familiar de </w:t>
      </w:r>
      <w:r>
        <w:rPr>
          <w:b/>
        </w:rPr>
        <w:t>+8.4%</w:t>
      </w:r>
      <w:r>
        <w:t xml:space="preserve"> YoY por empleo industrial. Oportunidad clara para Elektra, Banco Azteca (crédito nómina) y Totalplay (residencial + PyME).</w:t>
      </w:r>
    </w:p>
    <w:p>
      <w:pPr>
        <w:pStyle w:val="Heading2"/>
      </w:pPr>
      <w:r>
        <w:rPr>
          <w:color w:val="0B2545"/>
        </w:rPr>
        <w:t>3.2 Pagos digitales mainstream</w:t>
      </w:r>
    </w:p>
    <w:p>
      <w:r>
        <w:t xml:space="preserve">CoDi y QR se popularizaron en mercados y changarros. </w:t>
      </w:r>
      <w:r>
        <w:rPr>
          <w:b/>
        </w:rPr>
        <w:t>47% de los mexicanos adultos</w:t>
      </w:r>
      <w:r>
        <w:t xml:space="preserve"> ya hizo al menos un pago con QR en 2025, vs. 19% en 2023.</w:t>
      </w:r>
    </w:p>
    <w:p>
      <w:pPr>
        <w:pStyle w:val="Heading2"/>
      </w:pPr>
      <w:r>
        <w:rPr>
          <w:color w:val="0B2545"/>
        </w:rPr>
        <w:t>3.3 Streaming gana a TV lineal</w:t>
      </w:r>
    </w:p>
    <w:p>
      <w:r>
        <w:t xml:space="preserve">Tiempo promedio diario en streaming: </w:t>
      </w:r>
      <w:r>
        <w:rPr>
          <w:b/>
        </w:rPr>
        <w:t>2h 48min</w:t>
      </w:r>
      <w:r>
        <w:t xml:space="preserve"> (+18% YoY). Tiempo en TV abierta: </w:t>
      </w:r>
      <w:r>
        <w:rPr>
          <w:b/>
        </w:rPr>
        <w:t>1h 52min</w:t>
      </w:r>
      <w:r>
        <w:t xml:space="preserve"> (-11% YoY). Sin embargo, </w:t>
      </w:r>
      <w:r>
        <w:rPr>
          <w:b/>
        </w:rPr>
        <w:t>deporte y noticias en vivo</w:t>
      </w:r>
      <w:r>
        <w:t xml:space="preserve"> siguen dominando TV abierta.</w:t>
      </w:r>
    </w:p>
    <w:p>
      <w:pPr>
        <w:pStyle w:val="Heading2"/>
      </w:pPr>
      <w:r>
        <w:rPr>
          <w:color w:val="0B2545"/>
        </w:rPr>
        <w:t>3.4 Crédito formal en expansión</w:t>
      </w:r>
    </w:p>
    <w:p>
      <w:r>
        <w:t xml:space="preserve">CNBV reporta </w:t>
      </w:r>
      <w:r>
        <w:rPr>
          <w:b/>
        </w:rPr>
        <w:t>+14% YoY</w:t>
      </w:r>
      <w:r>
        <w:t xml:space="preserve"> en cartera de consumo, pero </w:t>
      </w:r>
      <w:r>
        <w:rPr>
          <w:b/>
        </w:rPr>
        <w:t>también</w:t>
      </w:r>
      <w:r>
        <w:t xml:space="preserve"> aumento de 22% en morosidad de tarjetas de crédito. Consumidor está apalancado.</w:t>
      </w:r>
    </w:p>
    <w:p>
      <w:pPr>
        <w:pStyle w:val="Heading2"/>
      </w:pPr>
      <w:r>
        <w:rPr>
          <w:color w:val="0B2545"/>
        </w:rPr>
        <w:t>3.5 Expectativas post-reforma</w:t>
      </w:r>
    </w:p>
    <w:p>
      <w:r>
        <w:t>La incertidumbre por cambios regulatorios (reforma judicial, reforma energética) y la cercanía con elecciones intermedias 2027 generan cautela en inversión privada.</w:t>
      </w:r>
    </w:p>
    <w:p>
      <w:pPr>
        <w:pStyle w:val="Heading1"/>
      </w:pPr>
      <w:r>
        <w:rPr>
          <w:color w:val="0B2545"/>
        </w:rPr>
        <w:t>4. Implicaciones para Grupo Salinas</w:t>
      </w:r>
    </w:p>
    <w:p>
      <w:pPr>
        <w:pStyle w:val="ListNumber"/>
      </w:pPr>
      <w:r>
        <w:rPr>
          <w:b/>
        </w:rPr>
        <w:t>Banco Azteca:</w:t>
      </w:r>
      <w:r>
        <w:t xml:space="preserve"> la base D+ sigue vigente, pero hay presión por educación financiera y productos digitales simples. Morosidad debe monitorearse de cerca.</w:t>
      </w:r>
    </w:p>
    <w:p>
      <w:pPr>
        <w:pStyle w:val="ListNumber"/>
      </w:pPr>
      <w:r>
        <w:rPr>
          <w:b/>
        </w:rPr>
        <w:t>Elektra:</w:t>
      </w:r>
      <w:r>
        <w:t xml:space="preserve"> nearshoring abre ventana en norte/bajío para formato más grande y crédito para línea blanca y motos.</w:t>
      </w:r>
    </w:p>
    <w:p>
      <w:pPr>
        <w:pStyle w:val="ListNumber"/>
      </w:pPr>
      <w:r>
        <w:rPr>
          <w:b/>
        </w:rPr>
        <w:t>Totalplay:</w:t>
      </w:r>
      <w:r>
        <w:t xml:space="preserve"> oportunidad en PyMEs industriales del corredor T-MEC; CapEx se justifica en ciudades medias industriales.</w:t>
      </w:r>
    </w:p>
    <w:p>
      <w:pPr>
        <w:pStyle w:val="ListNumber"/>
      </w:pPr>
      <w:r>
        <w:rPr>
          <w:b/>
        </w:rPr>
        <w:t>TV Azteca:</w:t>
      </w:r>
      <w:r>
        <w:t xml:space="preserve"> único activo con ventaja real son derechos deportivos y noticias; contenido de entretenimiento pierde frente a streaming.</w:t>
      </w:r>
    </w:p>
    <w:p>
      <w:pPr>
        <w:pStyle w:val="ListNumber"/>
      </w:pPr>
      <w:r>
        <w:rPr>
          <w:b/>
        </w:rPr>
        <w:t>Italika:</w:t>
      </w:r>
      <w:r>
        <w:t xml:space="preserve"> demanda de motos como vehículo de trabajo (delivery, repartidores) sigue fuerte; competencia China entrando al mercado.</w:t>
      </w:r>
    </w:p>
    <w:p>
      <w:pPr>
        <w:pStyle w:val="Heading1"/>
      </w:pPr>
      <w:r>
        <w:rPr>
          <w:color w:val="0B2545"/>
        </w:rPr>
        <w:t>5. Riesgos a Monitorear</w:t>
      </w:r>
    </w:p>
    <w:p>
      <w:pPr>
        <w:pStyle w:val="ListBullet"/>
      </w:pPr>
      <w:r>
        <w:t>Endurecimiento regulatorio a fintechs (CNBV + Banxico) puede nivelar cancha para bancos tradicionales como Banco Azteca.</w:t>
      </w:r>
    </w:p>
    <w:p>
      <w:pPr>
        <w:pStyle w:val="ListBullet"/>
      </w:pPr>
      <w:r>
        <w:t>Posible recesión en EE.UU. H2 2026 afectaría remesas.</w:t>
      </w:r>
    </w:p>
    <w:p>
      <w:pPr>
        <w:pStyle w:val="ListBullet"/>
      </w:pPr>
      <w:r>
        <w:t>Competencia china (Shein, Temu, motos chinas) presionando a Elektra e Italika.</w:t>
      </w:r>
    </w:p>
    <w:p>
      <w:pPr>
        <w:pBdr>
          <w:bottom w:val="single" w:sz="6" w:space="1" w:color="B0B6C2"/>
        </w:pBdr>
      </w:pPr>
    </w:p>
    <w:p>
      <w:r>
        <w:rPr>
          <w:i/>
        </w:rPr>
        <w:t>Material para reflexión estratégica. Actualizaciones trimestrales.</w:t>
      </w:r>
    </w:p>
    <w:sectPr w:rsidR="00FC693F" w:rsidRPr="0006063C" w:rsidSect="00034616">
      <w:pgSz w:w="12240" w:h="15840"/>
      <w:pgMar w:top="1134" w:right="1247" w:bottom="1134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B2545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B2545"/>
      <w:sz w:val="30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B2545"/>
      <w:sz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